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60" w:rsidRDefault="00143960" w:rsidP="00143960">
      <w:pPr>
        <w:spacing w:line="31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tabs>
          <w:tab w:val="left" w:pos="1640"/>
          <w:tab w:val="left" w:pos="3000"/>
          <w:tab w:val="left" w:pos="3580"/>
          <w:tab w:val="left" w:pos="7220"/>
        </w:tabs>
        <w:spacing w:line="0" w:lineRule="atLeast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D.08.05.01</w:t>
      </w:r>
      <w:r>
        <w:rPr>
          <w:rFonts w:ascii="Arial" w:eastAsia="Times New Roman" w:hAnsi="Arial"/>
          <w:sz w:val="22"/>
          <w:szCs w:val="22"/>
        </w:rPr>
        <w:tab/>
      </w:r>
      <w:r>
        <w:rPr>
          <w:rFonts w:ascii="Arial" w:eastAsia="Times New Roman" w:hAnsi="Arial"/>
          <w:b/>
          <w:sz w:val="22"/>
          <w:szCs w:val="22"/>
        </w:rPr>
        <w:t>ŚCIEKI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b/>
          <w:sz w:val="22"/>
          <w:szCs w:val="22"/>
        </w:rPr>
        <w:t>Z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b/>
          <w:sz w:val="22"/>
          <w:szCs w:val="22"/>
        </w:rPr>
        <w:t>PREFABRYKOWANYCH</w:t>
      </w:r>
      <w:r>
        <w:rPr>
          <w:rFonts w:ascii="Arial" w:eastAsia="Times New Roman" w:hAnsi="Arial"/>
          <w:sz w:val="22"/>
          <w:szCs w:val="22"/>
        </w:rPr>
        <w:t xml:space="preserve"> </w:t>
      </w:r>
      <w:r>
        <w:rPr>
          <w:rFonts w:ascii="Arial" w:eastAsia="Times New Roman" w:hAnsi="Arial"/>
          <w:b/>
          <w:sz w:val="22"/>
          <w:szCs w:val="22"/>
        </w:rPr>
        <w:t>ELEMENTÓW</w:t>
      </w:r>
    </w:p>
    <w:p w:rsidR="00143960" w:rsidRDefault="00143960" w:rsidP="00143960">
      <w:pPr>
        <w:spacing w:line="4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ind w:left="166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BETONOWYCH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"/>
        </w:numPr>
        <w:tabs>
          <w:tab w:val="left" w:pos="580"/>
        </w:tabs>
        <w:spacing w:line="0" w:lineRule="atLeast"/>
        <w:ind w:left="580" w:hanging="57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WSTĘP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Przedmiot Specyfikacji Technicznej (ST)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54" w:lineRule="auto"/>
        <w:ind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Przedmiotem niniejszej Specyfikacji Technicznej są wymagania dotyczące wykonania i odbioru robót związanych z wykonaniem ścieków z prefabrykowanych elementów betonowych na zadaniu:</w:t>
      </w:r>
      <w:r w:rsidR="0045648A" w:rsidRPr="0045648A">
        <w:rPr>
          <w:rFonts w:ascii="Arial" w:hAnsi="Arial"/>
          <w:sz w:val="22"/>
          <w:szCs w:val="22"/>
        </w:rPr>
        <w:t xml:space="preserve"> </w:t>
      </w:r>
      <w:r w:rsidR="0045648A">
        <w:rPr>
          <w:rFonts w:ascii="Arial" w:hAnsi="Arial"/>
          <w:sz w:val="22"/>
          <w:szCs w:val="22"/>
        </w:rPr>
        <w:t>przebudowa dróg gminnych na terenie Gminy</w:t>
      </w:r>
      <w:r w:rsidR="0045648A">
        <w:rPr>
          <w:rFonts w:ascii="Arial" w:hAnsi="Arial"/>
          <w:b/>
          <w:sz w:val="22"/>
          <w:szCs w:val="22"/>
        </w:rPr>
        <w:t xml:space="preserve"> </w:t>
      </w:r>
      <w:r w:rsidR="0045648A">
        <w:rPr>
          <w:rFonts w:ascii="Arial" w:hAnsi="Arial"/>
          <w:sz w:val="22"/>
          <w:szCs w:val="22"/>
        </w:rPr>
        <w:t>Małogoszcz</w:t>
      </w:r>
      <w:bookmarkStart w:id="0" w:name="_GoBack"/>
      <w:bookmarkEnd w:id="0"/>
    </w:p>
    <w:p w:rsidR="00143960" w:rsidRPr="00E11409" w:rsidRDefault="00143960" w:rsidP="00143960">
      <w:pPr>
        <w:spacing w:line="254" w:lineRule="auto"/>
        <w:ind w:right="20"/>
        <w:jc w:val="both"/>
        <w:rPr>
          <w:rFonts w:ascii="Arial" w:eastAsia="Times New Roman" w:hAnsi="Arial"/>
          <w:b/>
          <w:sz w:val="22"/>
          <w:szCs w:val="22"/>
        </w:rPr>
      </w:pPr>
    </w:p>
    <w:p w:rsidR="00E11409" w:rsidRDefault="006F658A" w:rsidP="00143960">
      <w:pPr>
        <w:spacing w:line="254" w:lineRule="auto"/>
        <w:ind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15pt;margin-top:.55pt;width:473.25pt;height:0;z-index:251658240" o:connectortype="straight"/>
        </w:pict>
      </w:r>
    </w:p>
    <w:p w:rsidR="00143960" w:rsidRDefault="00143960" w:rsidP="00143960">
      <w:pPr>
        <w:spacing w:line="2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3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Zakres stosowania ST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Specyfikacja Techniczna jest stosowana jako dokument przetargowy i kontraktowy przy zlecaniu i realizacji Robót wymienionych w pkt. 1.1.</w:t>
      </w:r>
    </w:p>
    <w:p w:rsidR="00143960" w:rsidRDefault="00143960" w:rsidP="00143960">
      <w:pPr>
        <w:spacing w:line="213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4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Zakres robót objętych ST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56" w:lineRule="auto"/>
        <w:ind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Ustalenia zawarte w niniejszej Specyfikacji dotyczą zasad prowadzenia robót związanych z wykonaniem:                                                                                                                                                   </w:t>
      </w:r>
      <w:r w:rsidRPr="00E5729E">
        <w:rPr>
          <w:rFonts w:ascii="Arial" w:hAnsi="Arial"/>
          <w:b/>
          <w:sz w:val="22"/>
          <w:szCs w:val="22"/>
        </w:rPr>
        <w:t xml:space="preserve">-      ścieków ulicznych </w:t>
      </w:r>
      <w:proofErr w:type="spellStart"/>
      <w:r w:rsidRPr="00E5729E">
        <w:rPr>
          <w:rFonts w:ascii="Arial" w:hAnsi="Arial"/>
          <w:b/>
          <w:sz w:val="22"/>
          <w:szCs w:val="22"/>
        </w:rPr>
        <w:t>przykrawężnikowych</w:t>
      </w:r>
      <w:proofErr w:type="spellEnd"/>
      <w:r w:rsidRPr="00E5729E">
        <w:rPr>
          <w:rFonts w:ascii="Arial" w:hAnsi="Arial"/>
          <w:b/>
          <w:sz w:val="22"/>
          <w:szCs w:val="22"/>
        </w:rPr>
        <w:t xml:space="preserve">,     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>-      ścieków terenowych.</w:t>
      </w:r>
    </w:p>
    <w:p w:rsidR="00143960" w:rsidRDefault="00143960" w:rsidP="00143960">
      <w:pPr>
        <w:spacing w:line="221" w:lineRule="exact"/>
        <w:rPr>
          <w:rFonts w:ascii="Arial" w:eastAsia="Times New Roman" w:hAnsi="Arial"/>
          <w:sz w:val="22"/>
          <w:szCs w:val="22"/>
        </w:rPr>
      </w:pPr>
    </w:p>
    <w:p w:rsidR="00143960" w:rsidRPr="00143960" w:rsidRDefault="00143960" w:rsidP="00143960">
      <w:pPr>
        <w:numPr>
          <w:ilvl w:val="0"/>
          <w:numId w:val="5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Określenia podstawowe</w:t>
      </w:r>
    </w:p>
    <w:p w:rsidR="00143960" w:rsidRDefault="00143960" w:rsidP="00143960">
      <w:pPr>
        <w:tabs>
          <w:tab w:val="left" w:pos="567"/>
        </w:tabs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1.4.1.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Ściek </w:t>
      </w:r>
      <w:proofErr w:type="spellStart"/>
      <w:r>
        <w:rPr>
          <w:rFonts w:ascii="Arial" w:hAnsi="Arial"/>
          <w:sz w:val="22"/>
          <w:szCs w:val="22"/>
        </w:rPr>
        <w:t>przykrawężnikowy</w:t>
      </w:r>
      <w:proofErr w:type="spellEnd"/>
      <w:r>
        <w:rPr>
          <w:rFonts w:ascii="Arial" w:hAnsi="Arial"/>
          <w:sz w:val="22"/>
          <w:szCs w:val="22"/>
        </w:rPr>
        <w:t xml:space="preserve"> - element konstrukcji jezdni służący do odprowadzenia wód opadowych z nawierzchni jezdni i chodników do projektowanych odbiorników (np. kanalizacji deszczowej).</w:t>
      </w:r>
    </w:p>
    <w:p w:rsidR="00143960" w:rsidRDefault="00143960" w:rsidP="00143960">
      <w:pPr>
        <w:tabs>
          <w:tab w:val="left" w:pos="567"/>
        </w:tabs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1.4.2.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Ściek terenowy - element zlokalizowany poza jezdnią lub chodnikiem służący do odprowadzenia wód opadowych z nawierzchni jezdni, chodników oraz przyległego terenu do odbiorników sztucznych lub naturalnych.</w:t>
      </w:r>
    </w:p>
    <w:p w:rsidR="00143960" w:rsidRDefault="00143960" w:rsidP="00143960">
      <w:pPr>
        <w:tabs>
          <w:tab w:val="left" w:pos="567"/>
        </w:tabs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1.4.3.</w:t>
      </w:r>
      <w:r>
        <w:rPr>
          <w:rFonts w:ascii="Arial" w:hAnsi="Arial"/>
          <w:sz w:val="22"/>
          <w:szCs w:val="22"/>
        </w:rPr>
        <w:tab/>
        <w:t>Pozostałe określenia podstawowe są zgodne z obowiązują</w:t>
      </w:r>
      <w:r>
        <w:rPr>
          <w:rFonts w:ascii="Arial" w:hAnsi="Arial"/>
          <w:sz w:val="22"/>
          <w:szCs w:val="22"/>
        </w:rPr>
        <w:softHyphen/>
        <w:t xml:space="preserve">cymi, odpowiednimi polskimi normami i z definicjami podanymi w OST D-M-00.00.00 „Wymagania ogólne” </w:t>
      </w:r>
    </w:p>
    <w:p w:rsidR="00143960" w:rsidRDefault="00143960" w:rsidP="00143960">
      <w:pPr>
        <w:spacing w:line="206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6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Ogólne wymagania dotyczące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Wykonawca Robót jest odpowiedzialny za jakość ich wykonania oraz za zgodność z Dokumentacją Projektową, ST i poleceniami Inżyniera.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Ogólne wymagania dotyczące Robót podano w ST D.M.00.00.00 „Wymagania ogólne”.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3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7"/>
        </w:numPr>
        <w:tabs>
          <w:tab w:val="left" w:pos="580"/>
        </w:tabs>
        <w:spacing w:line="0" w:lineRule="atLeast"/>
        <w:ind w:left="580" w:hanging="57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MATERIAŁY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8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Wymagania ogólne dotyczące materiałów</w:t>
      </w:r>
    </w:p>
    <w:p w:rsidR="00143960" w:rsidRPr="00143960" w:rsidRDefault="00143960" w:rsidP="00143960">
      <w:pPr>
        <w:pStyle w:val="Akapitzlist"/>
        <w:spacing w:line="0" w:lineRule="atLeast"/>
        <w:ind w:left="0"/>
        <w:rPr>
          <w:rFonts w:ascii="Arial" w:eastAsia="Times New Roman" w:hAnsi="Arial"/>
          <w:sz w:val="22"/>
          <w:szCs w:val="22"/>
        </w:rPr>
      </w:pPr>
      <w:r w:rsidRPr="00143960">
        <w:rPr>
          <w:rFonts w:ascii="Arial" w:eastAsia="Times New Roman" w:hAnsi="Arial"/>
          <w:sz w:val="22"/>
          <w:szCs w:val="22"/>
        </w:rPr>
        <w:t>Wymagania ogólne dotyczące materiałów podano w ST D.M.00.00.00 „Wymagania ogólne”.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rPr>
          <w:rFonts w:ascii="Arial" w:eastAsia="Times New Roman" w:hAnsi="Arial"/>
          <w:i/>
          <w:sz w:val="22"/>
          <w:szCs w:val="22"/>
        </w:rPr>
        <w:sectPr w:rsidR="00143960">
          <w:headerReference w:type="default" r:id="rId8"/>
          <w:footerReference w:type="default" r:id="rId9"/>
          <w:pgSz w:w="11900" w:h="16840"/>
          <w:pgMar w:top="1134" w:right="1134" w:bottom="1134" w:left="1418" w:header="0" w:footer="0" w:gutter="0"/>
          <w:cols w:space="708"/>
        </w:sectPr>
      </w:pP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  <w:bookmarkStart w:id="1" w:name="page2"/>
      <w:bookmarkEnd w:id="1"/>
    </w:p>
    <w:p w:rsidR="00143960" w:rsidRDefault="00143960" w:rsidP="00143960">
      <w:pPr>
        <w:spacing w:line="206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9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Cement</w:t>
      </w:r>
    </w:p>
    <w:p w:rsidR="00143960" w:rsidRDefault="00143960" w:rsidP="00143960">
      <w:pPr>
        <w:tabs>
          <w:tab w:val="left" w:pos="690"/>
        </w:tabs>
        <w:spacing w:line="0" w:lineRule="atLeast"/>
        <w:ind w:left="690"/>
        <w:jc w:val="both"/>
        <w:rPr>
          <w:rFonts w:ascii="Arial" w:eastAsia="Times New Roman" w:hAnsi="Arial"/>
          <w:b/>
          <w:sz w:val="22"/>
          <w:szCs w:val="22"/>
        </w:rPr>
      </w:pPr>
    </w:p>
    <w:p w:rsidR="00143960" w:rsidRDefault="00143960" w:rsidP="00143960">
      <w:pPr>
        <w:tabs>
          <w:tab w:val="left" w:pos="690"/>
        </w:tabs>
        <w:spacing w:line="0" w:lineRule="atLeas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Cement do betonu powinien być cementem portlandzkim, odpowiadającym wymaganiom </w:t>
      </w:r>
    </w:p>
    <w:p w:rsidR="00143960" w:rsidRDefault="00143960" w:rsidP="00143960">
      <w:pPr>
        <w:tabs>
          <w:tab w:val="left" w:pos="690"/>
        </w:tabs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PN-EN 197-1.</w:t>
      </w: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</w:t>
      </w:r>
      <w:r>
        <w:rPr>
          <w:rFonts w:ascii="Arial" w:eastAsia="Times New Roman" w:hAnsi="Arial"/>
          <w:sz w:val="22"/>
          <w:szCs w:val="22"/>
        </w:rPr>
        <w:t xml:space="preserve">Cement do zaprawy cementowej i na podsypkę cementowo-piaskową powinien być klasy 32,5. </w:t>
      </w:r>
    </w:p>
    <w:p w:rsidR="00143960" w:rsidRDefault="00143960" w:rsidP="00143960">
      <w:pPr>
        <w:tabs>
          <w:tab w:val="left" w:pos="690"/>
        </w:tabs>
        <w:spacing w:line="0" w:lineRule="atLeast"/>
        <w:rPr>
          <w:rFonts w:ascii="Arial" w:eastAsia="Times New Roman" w:hAnsi="Arial"/>
          <w:b/>
          <w:sz w:val="22"/>
          <w:szCs w:val="22"/>
        </w:rPr>
      </w:pPr>
    </w:p>
    <w:p w:rsidR="00143960" w:rsidRDefault="00143960" w:rsidP="00143960">
      <w:pPr>
        <w:numPr>
          <w:ilvl w:val="0"/>
          <w:numId w:val="10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Woda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ind w:left="1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Woda odpowiadać wymaganiom PN EN 1008.</w:t>
      </w:r>
    </w:p>
    <w:p w:rsidR="00143960" w:rsidRDefault="00143960" w:rsidP="00143960">
      <w:pPr>
        <w:spacing w:line="23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1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Piasek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Piasek na podsypkę cementowo-piaskową powinien odpowiada</w:t>
      </w:r>
      <w:r w:rsidR="00E5729E">
        <w:rPr>
          <w:rFonts w:ascii="Arial" w:eastAsia="Times New Roman" w:hAnsi="Arial"/>
          <w:sz w:val="22"/>
          <w:szCs w:val="22"/>
        </w:rPr>
        <w:t>ć wymaganiom PN-EN 12620+A1:20010</w:t>
      </w:r>
      <w:r>
        <w:rPr>
          <w:rFonts w:ascii="Arial" w:eastAsia="Times New Roman" w:hAnsi="Arial"/>
          <w:sz w:val="22"/>
          <w:szCs w:val="22"/>
        </w:rPr>
        <w:t>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Piasek do zaprawy cementowo-piaskowej powinien odpowiadać wymaganiom PN-EN 13139:2003/AC:2004.</w:t>
      </w: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2.5      Kruszywo do betonu</w:t>
      </w:r>
    </w:p>
    <w:p w:rsidR="00143960" w:rsidRDefault="00143960" w:rsidP="00143960">
      <w:pPr>
        <w:spacing w:line="276" w:lineRule="auto"/>
        <w:ind w:left="10" w:right="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Kruszywo do betonu powinno odpowiadać wymaganiom PN-EN 12620+A1:2010</w:t>
      </w: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hAnsi="Arial"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2.6       Krawężniki                            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Krawężniki</w:t>
      </w:r>
      <w:proofErr w:type="spellEnd"/>
      <w:r>
        <w:rPr>
          <w:rFonts w:ascii="Arial" w:hAnsi="Arial"/>
          <w:sz w:val="22"/>
          <w:szCs w:val="22"/>
        </w:rPr>
        <w:t xml:space="preserve">  powinny odpowiadać wymaganiom normy PN-EN 1340:2004/AC2007P</w:t>
      </w: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b/>
          <w:sz w:val="22"/>
          <w:szCs w:val="22"/>
        </w:rPr>
      </w:pPr>
    </w:p>
    <w:p w:rsidR="00143960" w:rsidRDefault="00143960" w:rsidP="00143960">
      <w:pPr>
        <w:numPr>
          <w:ilvl w:val="0"/>
          <w:numId w:val="12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Prefabrykowane elementy betonowe ścieku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Prefabrykowane elementy betonowe stosowane do wykonania ścieków </w:t>
      </w:r>
      <w:proofErr w:type="spellStart"/>
      <w:r>
        <w:rPr>
          <w:rFonts w:ascii="Arial" w:eastAsia="Times New Roman" w:hAnsi="Arial"/>
          <w:sz w:val="22"/>
          <w:szCs w:val="22"/>
        </w:rPr>
        <w:t>przykrawężnikowych</w:t>
      </w:r>
      <w:proofErr w:type="spellEnd"/>
      <w:r>
        <w:rPr>
          <w:rFonts w:ascii="Arial" w:eastAsia="Times New Roman" w:hAnsi="Arial"/>
          <w:sz w:val="22"/>
          <w:szCs w:val="22"/>
        </w:rPr>
        <w:t xml:space="preserve"> i  terenowych powinny odpowiadać wymaganiom PN-EN-991:1999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Kształt i wymiary prefabrykowanych elementów betonowych, użytych do wykonania ścieków, powinny być zgodne z Dokumentacją Projektową.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Do wykonania prefabrykatów należy stosować beton wg PN-EN 206-1, klasy co najmniej C20/25.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61" w:lineRule="auto"/>
        <w:ind w:left="10"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Nasiąkliwość prefabrykatów nie powinna przekraczać 4 %. Ścieralność na tarczy </w:t>
      </w:r>
      <w:proofErr w:type="spellStart"/>
      <w:r>
        <w:rPr>
          <w:rFonts w:ascii="Arial" w:eastAsia="Times New Roman" w:hAnsi="Arial"/>
          <w:sz w:val="22"/>
          <w:szCs w:val="22"/>
        </w:rPr>
        <w:t>Boehmego</w:t>
      </w:r>
      <w:proofErr w:type="spellEnd"/>
      <w:r>
        <w:rPr>
          <w:rFonts w:ascii="Arial" w:eastAsia="Times New Roman" w:hAnsi="Arial"/>
          <w:sz w:val="22"/>
          <w:szCs w:val="22"/>
        </w:rPr>
        <w:t xml:space="preserve"> nie powinna przekraczać 3,5 mm. Wytrzymałość betonu na ściskanie powinna być zgodna z PN-EN 206-1 dla przyjętej klasy betonu.</w:t>
      </w:r>
    </w:p>
    <w:p w:rsidR="00143960" w:rsidRDefault="00143960" w:rsidP="00143960">
      <w:pPr>
        <w:spacing w:line="1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61" w:lineRule="auto"/>
        <w:ind w:left="10"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Powierzchnia prefabrykatów powinna być bez rys, pęknięć i ubytków betonu, o fakturze zatartej. Krawędzie elementów powinny być równe i proste. Wklęsłość lub wypukłość powierzchni elementów nie powinna przekraczać 3 mm.</w:t>
      </w:r>
    </w:p>
    <w:p w:rsidR="00143960" w:rsidRDefault="00143960" w:rsidP="00143960">
      <w:pPr>
        <w:spacing w:line="1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ind w:left="1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Dopuszczalne odchyłki wymiarów prefabrykatów:</w:t>
      </w:r>
    </w:p>
    <w:p w:rsidR="00143960" w:rsidRDefault="00143960" w:rsidP="00143960">
      <w:pPr>
        <w:spacing w:line="79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3"/>
        </w:numPr>
        <w:tabs>
          <w:tab w:val="left" w:pos="450"/>
        </w:tabs>
        <w:spacing w:line="0" w:lineRule="atLeast"/>
        <w:ind w:left="450" w:hanging="45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na długości ± 10 mm,</w:t>
      </w:r>
    </w:p>
    <w:p w:rsidR="00143960" w:rsidRDefault="00143960" w:rsidP="00143960">
      <w:pPr>
        <w:spacing w:line="5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3"/>
        </w:numPr>
        <w:tabs>
          <w:tab w:val="left" w:pos="450"/>
        </w:tabs>
        <w:spacing w:line="0" w:lineRule="atLeast"/>
        <w:ind w:left="450" w:hanging="45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na wysokości i szerokości ± 3 mm.</w:t>
      </w:r>
    </w:p>
    <w:p w:rsidR="00143960" w:rsidRDefault="00143960" w:rsidP="00143960">
      <w:pPr>
        <w:spacing w:line="5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Prefabrykaty betonowe powinny być składowane w pozycji wbudowania, na podłożu utwardzonym i dobrze odwodnionym.</w:t>
      </w:r>
    </w:p>
    <w:p w:rsidR="00143960" w:rsidRDefault="00143960" w:rsidP="00143960">
      <w:pPr>
        <w:spacing w:line="35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4"/>
        </w:numPr>
        <w:tabs>
          <w:tab w:val="left" w:pos="690"/>
        </w:tabs>
        <w:spacing w:line="0" w:lineRule="atLeast"/>
        <w:ind w:left="690" w:hanging="69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Masa zalewowa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left="10"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Masa zalewowa do wypełnienia spoin powinna być stosowana na gorąco i odpowiadać wymaganiom BN-74/6771-04.</w:t>
      </w:r>
    </w:p>
    <w:p w:rsidR="00143960" w:rsidRDefault="00143960" w:rsidP="00143960">
      <w:pPr>
        <w:spacing w:line="35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5"/>
        </w:numPr>
        <w:tabs>
          <w:tab w:val="left" w:pos="570"/>
        </w:tabs>
        <w:spacing w:line="0" w:lineRule="atLeast"/>
        <w:ind w:left="570" w:hanging="57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SPRZĘT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6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Wymagania ogólne dotyczące sprzętu</w:t>
      </w:r>
    </w:p>
    <w:p w:rsidR="00143960" w:rsidRDefault="00143960" w:rsidP="00143960">
      <w:pPr>
        <w:rPr>
          <w:rFonts w:ascii="Arial" w:eastAsia="Times New Roman" w:hAnsi="Arial"/>
          <w:i/>
          <w:sz w:val="22"/>
          <w:szCs w:val="22"/>
        </w:rPr>
        <w:sectPr w:rsidR="00143960">
          <w:pgSz w:w="11900" w:h="16840"/>
          <w:pgMar w:top="1134" w:right="1134" w:bottom="1134" w:left="1418" w:header="0" w:footer="0" w:gutter="0"/>
          <w:cols w:space="708"/>
        </w:sectPr>
      </w:pP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  <w:bookmarkStart w:id="2" w:name="page3"/>
      <w:bookmarkEnd w:id="2"/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319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Wymagania ogólne dotyczące sprzętu podano w ST D.M.00.00.00 „Wymagania ogólne”.</w:t>
      </w:r>
    </w:p>
    <w:p w:rsidR="00143960" w:rsidRDefault="00143960" w:rsidP="00143960">
      <w:pPr>
        <w:spacing w:line="363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7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Sprzęt do wykonania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Roboty można wykonywać ręcznie przy pomocy drobnego sprzętu, z zastosowaniem:</w:t>
      </w:r>
    </w:p>
    <w:p w:rsidR="00143960" w:rsidRDefault="00143960" w:rsidP="00143960">
      <w:pPr>
        <w:spacing w:line="79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8"/>
        </w:numPr>
        <w:tabs>
          <w:tab w:val="left" w:pos="460"/>
        </w:tabs>
        <w:spacing w:line="264" w:lineRule="auto"/>
        <w:ind w:left="460" w:right="20" w:hanging="451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betoniarek do wytwarzania betonu i zapraw oraz przygotowania podsypki cementowo-piaskowej,</w:t>
      </w:r>
    </w:p>
    <w:p w:rsidR="00143960" w:rsidRDefault="00143960" w:rsidP="00143960">
      <w:pPr>
        <w:numPr>
          <w:ilvl w:val="0"/>
          <w:numId w:val="18"/>
        </w:numPr>
        <w:tabs>
          <w:tab w:val="left" w:pos="460"/>
        </w:tabs>
        <w:spacing w:line="0" w:lineRule="atLeast"/>
        <w:ind w:left="460" w:hanging="451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wibratorów płytowych, ubijaków ręcznych lub mechanicznych.</w:t>
      </w:r>
    </w:p>
    <w:p w:rsidR="00143960" w:rsidRDefault="00143960" w:rsidP="00143960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06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19"/>
        </w:numPr>
        <w:tabs>
          <w:tab w:val="left" w:pos="580"/>
        </w:tabs>
        <w:spacing w:line="0" w:lineRule="atLeast"/>
        <w:ind w:left="580" w:hanging="57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TRANSPORT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0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Wymagania ogólne dotyczące transportu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Wymagania ogólne dotyczące transportu podano w ST D.M.00.00.00 „Wymagania ogólne”.</w:t>
      </w:r>
    </w:p>
    <w:p w:rsidR="00143960" w:rsidRDefault="00143960" w:rsidP="00143960">
      <w:pPr>
        <w:spacing w:line="363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1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Transport materiałów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Transport prefabrykatów powinien odbywać się wg BN-80/6775-03/01, a transport cementu wg BN-88/6731-08.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Kruszywo można przewozić dowolnymi środkami transportu w sposób zabezpieczający je przed zanieczyszczeniem i zmieszaniem z innymi asortymentami.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76" w:lineRule="auto"/>
        <w:ind w:right="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Korytka będą transportowane i składowane na miejscu wbudowania zgodnie z wymogami producenta.</w:t>
      </w:r>
    </w:p>
    <w:p w:rsidR="00143960" w:rsidRDefault="00143960" w:rsidP="00143960">
      <w:pPr>
        <w:spacing w:line="35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2"/>
        </w:numPr>
        <w:tabs>
          <w:tab w:val="left" w:pos="580"/>
        </w:tabs>
        <w:spacing w:line="0" w:lineRule="atLeast"/>
        <w:ind w:left="580" w:hanging="57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WYKONANIE ROBÓT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3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Ogólne zasady wykonywania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Zasady ogólne wykonywania Robót podano w ST D.M.00.00.00 „Wymagania ogólne”.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5.2. Roboty przygotowawcze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Przed przystąpieniem do wykonania ścieku należy wytyczyć linię krawężnika i oś ścieku zgodnie z dokumentacją projektową. 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5.3. Wykop pod ławę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Wykop pod wspólną ławę dla ścieku i krawężnika należy wykonać zgodnie z dokumentacją.                                         Jeżeli dokumentacja projektowa nie stanowi inaczej, to najczęściej stosowaną ławą pod ściek i krawężnik jest ława z oporem. Dla ścieku  terenowego stosowana jest ława zwykła.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Wymiary wykopu powinny odpowiadać wymiarom ławy w planie z uwzględnieniem w szerokości dna wykopu konstrukcji szalunku dla ławy z oporem. Wskaźnik zagęszczenia dna wykopu pod ławę powinien wynosić co najmniej 0,97, wg normalnej metody </w:t>
      </w:r>
      <w:proofErr w:type="spellStart"/>
      <w:r>
        <w:rPr>
          <w:rFonts w:ascii="Arial" w:hAnsi="Arial"/>
          <w:sz w:val="22"/>
          <w:szCs w:val="22"/>
        </w:rPr>
        <w:t>Proctora</w:t>
      </w:r>
      <w:proofErr w:type="spellEnd"/>
      <w:r>
        <w:rPr>
          <w:rFonts w:ascii="Arial" w:hAnsi="Arial"/>
          <w:sz w:val="22"/>
          <w:szCs w:val="22"/>
        </w:rPr>
        <w:t>.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5.4. Wykonanie ławy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Klasa betonu stosowanego do wykonania ławy powinna być zgodna z dokumentacją projektową.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Jeżeli dokumentacja projektowa nie stanowi inaczej, należy stosować ławy z betonu klasy C12/15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5.5. Ustawienie krawężników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Ustawienie krawężników na ławie powinno być wykonywane zgodnie z dokumentacją projektow</w:t>
      </w:r>
      <w:r w:rsidR="00F342BA">
        <w:rPr>
          <w:rFonts w:ascii="Arial" w:hAnsi="Arial"/>
          <w:sz w:val="22"/>
          <w:szCs w:val="22"/>
        </w:rPr>
        <w:t xml:space="preserve">ą oraz z postanowieniami </w:t>
      </w:r>
      <w:r>
        <w:rPr>
          <w:rFonts w:ascii="Arial" w:hAnsi="Arial"/>
          <w:sz w:val="22"/>
          <w:szCs w:val="22"/>
        </w:rPr>
        <w:t>SST D-08.01.01 „Krawężniki betonowe”.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5.6. Wykonanie ścieku z prefabrykatów</w:t>
      </w:r>
    </w:p>
    <w:p w:rsidR="00143960" w:rsidRP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Ustawienie prefabrykatów na ławie powinno być wykonane na podsypce cementowo-p</w:t>
      </w:r>
      <w:r w:rsidR="00E5729E">
        <w:rPr>
          <w:rFonts w:ascii="Arial" w:hAnsi="Arial"/>
          <w:sz w:val="22"/>
          <w:szCs w:val="22"/>
        </w:rPr>
        <w:t xml:space="preserve">iaskowej </w:t>
      </w:r>
      <w:r>
        <w:rPr>
          <w:rFonts w:ascii="Arial" w:hAnsi="Arial"/>
          <w:sz w:val="22"/>
          <w:szCs w:val="22"/>
        </w:rPr>
        <w:t xml:space="preserve">o grubości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/>
            <w:sz w:val="22"/>
            <w:szCs w:val="22"/>
          </w:rPr>
          <w:t>5 cm</w:t>
        </w:r>
      </w:smartTag>
      <w:r>
        <w:rPr>
          <w:rFonts w:ascii="Arial" w:hAnsi="Arial"/>
          <w:sz w:val="22"/>
          <w:szCs w:val="22"/>
        </w:rPr>
        <w:t xml:space="preserve">, lub innego wymiaru wskazanego w dokumentacji projektowej. Ustawianie prefabrykatów powinno być zgodne z projektowaną niweletą dna ścieku.                                                                                                  Spoiny elementów prefabrykowanych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.  Spoiny prefabrykatów układanych na ławie betonowej należy wypełnić zaprawą cementowo-piaskową, przygotowaną w stosunku 1:2. Spoiny przed zalaniem należy oczyścić i zmyć wodą. Prefabrykaty ustawione na podsypce cementowo-piaskowej i o spoinach zalanych zaprawą, powinny mieć co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Arial" w:hAnsi="Arial"/>
            <w:sz w:val="22"/>
            <w:szCs w:val="22"/>
          </w:rPr>
          <w:t>50 m</w:t>
        </w:r>
      </w:smartTag>
      <w:r>
        <w:rPr>
          <w:rFonts w:ascii="Arial" w:hAnsi="Arial"/>
          <w:sz w:val="22"/>
          <w:szCs w:val="22"/>
        </w:rPr>
        <w:t xml:space="preserve"> spoiny wypełnione bitumiczną masą zalewową nad szczeliną dylatacyjną ławy betonowej.                                                                                                                                  Jeżeli do wykonania ścieków terenowych zastosowano prefabrykaty typu „korytkowego” wg KPED - karta 01.03 to połączenie prefabrykatu z jezdnią należy wypełnić bitumiczną masą zalewową.  </w:t>
      </w:r>
    </w:p>
    <w:p w:rsidR="00143960" w:rsidRDefault="00143960" w:rsidP="00143960">
      <w:pPr>
        <w:spacing w:line="14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5.7. Podsypka</w:t>
      </w:r>
    </w:p>
    <w:p w:rsidR="00143960" w:rsidRDefault="00143960" w:rsidP="00143960">
      <w:pPr>
        <w:spacing w:line="12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68" w:lineRule="auto"/>
        <w:ind w:right="1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Rodzaj podsypki i jej grubość powinny być zgodne z dokumentacją projektową lub ST. Jeśli dokumentacja projektowa lub ST nie ustala inaczej to grubość podsypki powinna</w:t>
      </w:r>
    </w:p>
    <w:p w:rsidR="00143960" w:rsidRDefault="00143960" w:rsidP="00143960">
      <w:pPr>
        <w:spacing w:line="252" w:lineRule="auto"/>
        <w:ind w:right="60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wynosić po zagęszczeniu 5 cm, a wymagania dla materiałów na podsypkę powinny być zgodne z punktem 2.4. Dopuszczalne odchyłki od zaprojektowanej grubości podsypki nie powinny przekraczać 1 cm.</w:t>
      </w:r>
    </w:p>
    <w:p w:rsidR="00143960" w:rsidRDefault="00143960" w:rsidP="00143960">
      <w:pPr>
        <w:spacing w:line="2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4" w:lineRule="auto"/>
        <w:ind w:right="3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Dowiezioną z betoniarki podsypkę cementowo - piaskową należy składować w taki sposób aby zabezpieczyć ją przed wpływem warunków atmosferycznych. Należy pryzmy przykryć płachtami brezentowymi aby nie odparowywała woda lub aby opady atmosferyczne nie spowodowały zbytniego zawilgocenia materiału. Dostarczoną podsypkę cementowo – piaskową należy wyrobić w ciągu 4 godzin od zarobienia z wodą.</w:t>
      </w:r>
    </w:p>
    <w:p w:rsidR="00143960" w:rsidRDefault="00143960" w:rsidP="00143960">
      <w:pPr>
        <w:spacing w:line="2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4" w:lineRule="auto"/>
        <w:ind w:right="6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Podsypkę cementowo-piaskową przygotowuje się w betoniarkach, a następnie rozściela się na uprzednio zwilżonej podbudowie lub podłożu i zagęszcza lekkimi walcami (np. ręcznymi) lub zagęszczarkami wibracyjnymi w stanie wilgotności optymalnej.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Podsypkę cementowo-piaskową przygotowuje się w betoniarkach przy zachowaniu:</w:t>
      </w:r>
    </w:p>
    <w:p w:rsidR="00143960" w:rsidRDefault="00143960" w:rsidP="00143960">
      <w:pPr>
        <w:spacing w:line="0" w:lineRule="atLeast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     -  współczynnika wodnocementowego od 0,25 do 0,35,</w:t>
      </w:r>
    </w:p>
    <w:p w:rsidR="00143960" w:rsidRDefault="00143960" w:rsidP="00143960">
      <w:pPr>
        <w:spacing w:line="213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     - wytrzymałości na ściskanie nie mniejszej niż R</w:t>
      </w:r>
      <w:r>
        <w:rPr>
          <w:rFonts w:ascii="Arial" w:eastAsia="Times New Roman" w:hAnsi="Arial"/>
          <w:sz w:val="22"/>
          <w:szCs w:val="22"/>
          <w:vertAlign w:val="subscript"/>
        </w:rPr>
        <w:t>7</w:t>
      </w:r>
      <w:r>
        <w:rPr>
          <w:rFonts w:ascii="Arial" w:eastAsia="Times New Roman" w:hAnsi="Arial"/>
          <w:sz w:val="22"/>
          <w:szCs w:val="22"/>
        </w:rPr>
        <w:t xml:space="preserve"> = 10 </w:t>
      </w:r>
      <w:proofErr w:type="spellStart"/>
      <w:r>
        <w:rPr>
          <w:rFonts w:ascii="Arial" w:eastAsia="Times New Roman" w:hAnsi="Arial"/>
          <w:sz w:val="22"/>
          <w:szCs w:val="22"/>
        </w:rPr>
        <w:t>MPa</w:t>
      </w:r>
      <w:proofErr w:type="spellEnd"/>
      <w:r>
        <w:rPr>
          <w:rFonts w:ascii="Arial" w:eastAsia="Times New Roman" w:hAnsi="Arial"/>
          <w:sz w:val="22"/>
          <w:szCs w:val="22"/>
        </w:rPr>
        <w:t>, R</w:t>
      </w:r>
      <w:r>
        <w:rPr>
          <w:rFonts w:ascii="Arial" w:eastAsia="Times New Roman" w:hAnsi="Arial"/>
          <w:sz w:val="22"/>
          <w:szCs w:val="22"/>
          <w:vertAlign w:val="subscript"/>
        </w:rPr>
        <w:t>28</w:t>
      </w:r>
      <w:r>
        <w:rPr>
          <w:rFonts w:ascii="Arial" w:eastAsia="Times New Roman" w:hAnsi="Arial"/>
          <w:sz w:val="22"/>
          <w:szCs w:val="22"/>
        </w:rPr>
        <w:t xml:space="preserve"> = 14 </w:t>
      </w:r>
      <w:proofErr w:type="spellStart"/>
      <w:r>
        <w:rPr>
          <w:rFonts w:ascii="Arial" w:eastAsia="Times New Roman" w:hAnsi="Arial"/>
          <w:sz w:val="22"/>
          <w:szCs w:val="22"/>
        </w:rPr>
        <w:t>MPa</w:t>
      </w:r>
      <w:proofErr w:type="spellEnd"/>
      <w:r>
        <w:rPr>
          <w:rFonts w:ascii="Arial" w:eastAsia="Times New Roman" w:hAnsi="Arial"/>
          <w:sz w:val="22"/>
          <w:szCs w:val="22"/>
        </w:rPr>
        <w:t>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4" w:lineRule="auto"/>
        <w:ind w:right="32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prefabrykatów od 3 do 4 m. Rozścielona podsypka powinna być wyprofilowana i zagęszczona w stanie wilgotnym, lekkimi walcami (np. ręcznymi) lub zagęszczarkami wibracyjnymi.</w:t>
      </w:r>
    </w:p>
    <w:p w:rsidR="00143960" w:rsidRDefault="00143960" w:rsidP="00143960">
      <w:pPr>
        <w:spacing w:line="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247" w:lineRule="auto"/>
        <w:ind w:right="4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Jeśli podsypka ulegnie wyschnięciu na powierzchni to należy ją skropić wodą z konewki w takiej ilości, aby woda zwilżyła całą grubość podsypki. Całkowite ubicie warstwy podsypki, ułożenie prefabrykatów i wypełnienie spoin zaprawą musi być zakończone przed rozpoczęciem wiązania cementu w podsypce.</w:t>
      </w:r>
    </w:p>
    <w:p w:rsidR="00143960" w:rsidRDefault="00143960" w:rsidP="00143960">
      <w:pPr>
        <w:spacing w:line="319" w:lineRule="exact"/>
        <w:rPr>
          <w:rFonts w:ascii="Arial" w:eastAsia="Times New Roman" w:hAnsi="Arial"/>
          <w:sz w:val="22"/>
          <w:szCs w:val="22"/>
        </w:rPr>
      </w:pPr>
    </w:p>
    <w:p w:rsidR="00143960" w:rsidRPr="00143960" w:rsidRDefault="00143960" w:rsidP="00143960">
      <w:pPr>
        <w:pStyle w:val="Akapitzlist"/>
        <w:numPr>
          <w:ilvl w:val="0"/>
          <w:numId w:val="22"/>
        </w:numPr>
        <w:tabs>
          <w:tab w:val="left" w:pos="860"/>
        </w:tabs>
        <w:spacing w:line="0" w:lineRule="atLeast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 </w:t>
      </w:r>
      <w:r w:rsidRPr="00143960">
        <w:rPr>
          <w:rFonts w:ascii="Arial" w:eastAsia="Times New Roman" w:hAnsi="Arial"/>
          <w:b/>
          <w:sz w:val="22"/>
          <w:szCs w:val="22"/>
        </w:rPr>
        <w:t>KONTROLA JAKOŚCI ROBÓT</w:t>
      </w:r>
    </w:p>
    <w:p w:rsidR="00143960" w:rsidRDefault="00143960" w:rsidP="00143960">
      <w:pPr>
        <w:spacing w:line="295" w:lineRule="exact"/>
        <w:rPr>
          <w:rFonts w:ascii="Arial" w:eastAsia="Times New Roman" w:hAnsi="Arial"/>
          <w:sz w:val="22"/>
          <w:szCs w:val="22"/>
        </w:rPr>
      </w:pPr>
    </w:p>
    <w:p w:rsidR="00143960" w:rsidRPr="00143960" w:rsidRDefault="00143960" w:rsidP="00143960">
      <w:pPr>
        <w:pStyle w:val="Akapitzlist"/>
        <w:numPr>
          <w:ilvl w:val="1"/>
          <w:numId w:val="31"/>
        </w:numPr>
        <w:tabs>
          <w:tab w:val="left" w:pos="980"/>
        </w:tabs>
        <w:spacing w:line="0" w:lineRule="atLeast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         </w:t>
      </w:r>
      <w:r w:rsidRPr="00143960">
        <w:rPr>
          <w:rFonts w:ascii="Arial" w:eastAsia="Times New Roman" w:hAnsi="Arial"/>
          <w:b/>
          <w:sz w:val="22"/>
          <w:szCs w:val="22"/>
        </w:rPr>
        <w:t>Ogólne zasady kontroli jakości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spacing w:line="0" w:lineRule="atLeas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lastRenderedPageBreak/>
        <w:t>Ogólne zasady kontroli jakości Robót podano w ST D.M.00.00.00 „Wymagania ogólne”.</w:t>
      </w:r>
    </w:p>
    <w:p w:rsidR="00143960" w:rsidRDefault="00143960" w:rsidP="00143960">
      <w:pPr>
        <w:spacing w:line="363" w:lineRule="exact"/>
        <w:rPr>
          <w:rFonts w:ascii="Arial" w:eastAsia="Times New Roman" w:hAnsi="Arial"/>
          <w:sz w:val="22"/>
          <w:szCs w:val="22"/>
        </w:rPr>
      </w:pPr>
    </w:p>
    <w:p w:rsidR="00143960" w:rsidRPr="0036087E" w:rsidRDefault="0036087E" w:rsidP="0036087E">
      <w:pPr>
        <w:pStyle w:val="Akapitzlist"/>
        <w:numPr>
          <w:ilvl w:val="1"/>
          <w:numId w:val="31"/>
        </w:numPr>
        <w:tabs>
          <w:tab w:val="left" w:pos="980"/>
        </w:tabs>
        <w:spacing w:line="0" w:lineRule="atLeast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 xml:space="preserve">       </w:t>
      </w:r>
      <w:r w:rsidR="00143960" w:rsidRPr="0036087E">
        <w:rPr>
          <w:rFonts w:ascii="Arial" w:eastAsia="Times New Roman" w:hAnsi="Arial"/>
          <w:b/>
          <w:sz w:val="22"/>
          <w:szCs w:val="22"/>
        </w:rPr>
        <w:t>Badania przed przystąpieniem do robót</w:t>
      </w:r>
    </w:p>
    <w:p w:rsidR="00143960" w:rsidRDefault="00143960" w:rsidP="00143960">
      <w:pPr>
        <w:spacing w:line="151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36087E">
      <w:pPr>
        <w:spacing w:line="261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Przed przystąpieniem do robót Wykonawca powinien wykonać badania materiałów przeznaczonych do wykonania ścieku i przedstawić wyniki tych badań Inżynierowi do akceptacji.</w:t>
      </w:r>
    </w:p>
    <w:p w:rsidR="00143960" w:rsidRDefault="00143960" w:rsidP="00143960">
      <w:pPr>
        <w:spacing w:line="18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36087E">
      <w:pPr>
        <w:spacing w:line="261" w:lineRule="auto"/>
        <w:ind w:right="20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Badania materiałów stosowanych do wykonania ścieku z prefabrykatów powinny obejmować właściwości, które zostały określone w normach podanych dla odpowiednich materiałów w pkt 2.</w:t>
      </w:r>
    </w:p>
    <w:p w:rsidR="00143960" w:rsidRDefault="00143960" w:rsidP="00143960">
      <w:pPr>
        <w:spacing w:line="276" w:lineRule="auto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Przy małym zakresie  robót, można odstąpić od badań przewidzianych w normach i ograniczyć badania do oceny wizualnej prefabrykatów.</w:t>
      </w:r>
    </w:p>
    <w:p w:rsidR="00143960" w:rsidRDefault="00143960" w:rsidP="00143960">
      <w:pPr>
        <w:spacing w:line="35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7"/>
        </w:numPr>
        <w:tabs>
          <w:tab w:val="left" w:pos="700"/>
        </w:tabs>
        <w:spacing w:line="0" w:lineRule="atLeast"/>
        <w:ind w:left="700" w:hanging="691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Badania w czasie robót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6.3.1. </w:t>
      </w:r>
      <w:r>
        <w:rPr>
          <w:rFonts w:ascii="Arial" w:hAnsi="Arial"/>
          <w:sz w:val="22"/>
          <w:szCs w:val="22"/>
        </w:rPr>
        <w:t>Zakres badań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czasie robót związanych z wykonaniem ścieku z prefabrykatów należy sprawdzać: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     wykop pod ławę,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      gotową ławę,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    ustawienie krawężnika,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      wykonanie ścieku.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6.3.2. </w:t>
      </w:r>
      <w:r>
        <w:rPr>
          <w:rFonts w:ascii="Arial" w:hAnsi="Arial"/>
          <w:sz w:val="22"/>
          <w:szCs w:val="22"/>
        </w:rPr>
        <w:t>Wykop pod ławę</w:t>
      </w:r>
    </w:p>
    <w:p w:rsidR="00143960" w:rsidRDefault="00143960" w:rsidP="0036087E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Należy sprawdzać, czy wymiary wykopu są zgodne z dokumentacją projektową oraz zagęszczenie podłoża na dnie wykopu.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Tolerancja dla szerokości wykopu wynosi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/>
            <w:sz w:val="22"/>
            <w:szCs w:val="22"/>
          </w:rPr>
          <w:t>2 cm</w:t>
        </w:r>
      </w:smartTag>
      <w:r>
        <w:rPr>
          <w:rFonts w:ascii="Arial" w:hAnsi="Arial"/>
          <w:sz w:val="22"/>
          <w:szCs w:val="22"/>
        </w:rPr>
        <w:t>. Zagęszczenie podłoża powinno być zgodne z pkt 5.3.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6.3.3. </w:t>
      </w:r>
      <w:r>
        <w:rPr>
          <w:rFonts w:ascii="Arial" w:hAnsi="Arial"/>
          <w:sz w:val="22"/>
          <w:szCs w:val="22"/>
        </w:rPr>
        <w:t>Sprawdzenie wykonania ławy</w:t>
      </w:r>
    </w:p>
    <w:p w:rsidR="00143960" w:rsidRDefault="00143960" w:rsidP="0036087E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 wykonywaniu ławy, badaniu podlegają: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a)     linia ławy w planie, która może się różnić od projektowanego kierunku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/>
            <w:sz w:val="22"/>
            <w:szCs w:val="22"/>
          </w:rPr>
          <w:t>2 cm</w:t>
        </w:r>
      </w:smartTag>
      <w:r>
        <w:rPr>
          <w:rFonts w:ascii="Arial" w:hAnsi="Arial"/>
          <w:sz w:val="22"/>
          <w:szCs w:val="22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ławy,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b)    niweleta górnej powierzchni ławy, która może się różnić od niwelety projektowanej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na każde </w:t>
      </w:r>
      <w:r w:rsidR="0036087E">
        <w:rPr>
          <w:rFonts w:ascii="Arial" w:hAnsi="Arial"/>
          <w:sz w:val="22"/>
          <w:szCs w:val="22"/>
        </w:rPr>
        <w:t xml:space="preserve">100m ławy                                          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c)     wymiary i równość ławy, sprawdzane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ławy, przy czym dopuszczalne tolerancje wynoszą dla: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- </w:t>
      </w:r>
      <w:r>
        <w:rPr>
          <w:rFonts w:ascii="Arial" w:hAnsi="Arial"/>
          <w:sz w:val="22"/>
          <w:szCs w:val="22"/>
        </w:rPr>
        <w:t xml:space="preserve">wysokości (grubości) ławy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10% wysokości projektowanej,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-</w:t>
      </w:r>
      <w:r>
        <w:rPr>
          <w:rFonts w:ascii="Arial" w:hAnsi="Arial"/>
          <w:sz w:val="22"/>
          <w:szCs w:val="22"/>
        </w:rPr>
        <w:t xml:space="preserve">szerokości górnej powierzchni ławy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10% szerokości projektowanej,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-</w:t>
      </w:r>
      <w:r>
        <w:rPr>
          <w:rFonts w:ascii="Arial" w:hAnsi="Arial"/>
          <w:sz w:val="22"/>
          <w:szCs w:val="22"/>
        </w:rPr>
        <w:t xml:space="preserve"> równości górnej powierzchni ławy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prześwitu pomiędzy powierzchnią ławy a przyłożoną czterometrową łatą.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6.3.4. </w:t>
      </w:r>
      <w:r>
        <w:rPr>
          <w:rFonts w:ascii="Arial" w:hAnsi="Arial"/>
          <w:sz w:val="22"/>
          <w:szCs w:val="22"/>
        </w:rPr>
        <w:t>Sprawdzenie ustawienia krawężnika</w:t>
      </w:r>
    </w:p>
    <w:p w:rsidR="00143960" w:rsidRDefault="00143960" w:rsidP="0036087E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 ustawianiu krawężnika, badaniu podlegają:</w:t>
      </w:r>
      <w:r w:rsidR="0036087E">
        <w:rPr>
          <w:rFonts w:ascii="Arial" w:hAnsi="Arial"/>
          <w:sz w:val="22"/>
          <w:szCs w:val="22"/>
        </w:rPr>
        <w:t xml:space="preserve">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a)     linia krawężnika w planie, która może się różnić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od linii projektowanej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ustawionego krawężnika,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b)    niweleta krawężnika, która może się różnić od niwelety projektowanej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ustawionego krawężnika,</w:t>
      </w:r>
    </w:p>
    <w:p w:rsidR="00143960" w:rsidRDefault="00143960" w:rsidP="0036087E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c)     równość górnej powierzchni krawężnika, sprawdzana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długości, która może wykazywać prześwit nie większy niż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 xml:space="preserve"> pomiędzy powierzchnią krawężnika a przyłożoną czterometrową łatą,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d)    wypełnienie spoin, sprawdzane na każdych </w:t>
      </w:r>
      <w:smartTag w:uri="urn:schemas-microsoft-com:office:smarttags" w:element="metricconverter">
        <w:smartTagPr>
          <w:attr w:name="ProductID" w:val="10 metrach"/>
        </w:smartTagPr>
        <w:r>
          <w:rPr>
            <w:rFonts w:ascii="Arial" w:hAnsi="Arial"/>
            <w:sz w:val="22"/>
            <w:szCs w:val="22"/>
          </w:rPr>
          <w:t>10 metrach</w:t>
        </w:r>
      </w:smartTag>
      <w:r>
        <w:rPr>
          <w:rFonts w:ascii="Arial" w:hAnsi="Arial"/>
          <w:sz w:val="22"/>
          <w:szCs w:val="22"/>
        </w:rPr>
        <w:t xml:space="preserve"> ustawionego krawężnika, przy czym wymagane jest całkowite wypełnienie badanej spoiny,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e)     szerokość spoin, sprawdzana na każdych </w:t>
      </w:r>
      <w:smartTag w:uri="urn:schemas-microsoft-com:office:smarttags" w:element="metricconverter">
        <w:smartTagPr>
          <w:attr w:name="ProductID" w:val="10 metrach"/>
        </w:smartTagPr>
        <w:r>
          <w:rPr>
            <w:rFonts w:ascii="Arial" w:hAnsi="Arial"/>
            <w:sz w:val="22"/>
            <w:szCs w:val="22"/>
          </w:rPr>
          <w:t>10 metrach</w:t>
        </w:r>
      </w:smartTag>
      <w:r>
        <w:rPr>
          <w:rFonts w:ascii="Arial" w:hAnsi="Arial"/>
          <w:sz w:val="22"/>
          <w:szCs w:val="22"/>
        </w:rPr>
        <w:t xml:space="preserve"> ustawionego krawężnika, która nie może być większa od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>.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6.3.5. </w:t>
      </w:r>
      <w:r>
        <w:rPr>
          <w:rFonts w:ascii="Arial" w:hAnsi="Arial"/>
          <w:sz w:val="22"/>
          <w:szCs w:val="22"/>
        </w:rPr>
        <w:t>Sprawdzenie wykonania ścieku</w:t>
      </w:r>
    </w:p>
    <w:p w:rsidR="00143960" w:rsidRDefault="00143960" w:rsidP="00143960">
      <w:pPr>
        <w:spacing w:before="120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 wykonaniu ścieku, badaniu podlegają: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a)     niweleta ścieku, która może różnić się od niwelety projektowanej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1 cm</w:t>
      </w:r>
      <w:r w:rsidR="00D835F6">
        <w:rPr>
          <w:rFonts w:ascii="Arial" w:hAnsi="Arial"/>
          <w:sz w:val="22"/>
          <w:szCs w:val="22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wykonanego ścieku,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b)    równość podłużna ścieku, sprawdzana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 długości, która może wykazywać prześwit nie większy niż </w:t>
      </w:r>
      <w:smartTag w:uri="urn:schemas-microsoft-com:office:smarttags" w:element="metricconverter">
        <w:smartTagPr>
          <w:attr w:name="ProductID" w:val="0,8 cm"/>
        </w:smartTagPr>
        <w:r>
          <w:rPr>
            <w:rFonts w:ascii="Arial" w:hAnsi="Arial"/>
            <w:sz w:val="22"/>
            <w:szCs w:val="22"/>
          </w:rPr>
          <w:t>0,8 cm</w:t>
        </w:r>
      </w:smartTag>
      <w:r>
        <w:rPr>
          <w:rFonts w:ascii="Arial" w:hAnsi="Arial"/>
          <w:sz w:val="22"/>
          <w:szCs w:val="22"/>
        </w:rPr>
        <w:t xml:space="preserve"> pomiędzy powierzchnią ścieku a łatą czterometrową,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c)     wypełnienie spoin, wykonane zgodnie z pkt 5, sprawdzane na każdych </w:t>
      </w:r>
      <w:smartTag w:uri="urn:schemas-microsoft-com:office:smarttags" w:element="metricconverter">
        <w:smartTagPr>
          <w:attr w:name="ProductID" w:val="10 metrach"/>
        </w:smartTagPr>
        <w:r>
          <w:rPr>
            <w:rFonts w:ascii="Arial" w:hAnsi="Arial"/>
            <w:sz w:val="22"/>
            <w:szCs w:val="22"/>
          </w:rPr>
          <w:t>10 metrach</w:t>
        </w:r>
      </w:smartTag>
      <w:r>
        <w:rPr>
          <w:rFonts w:ascii="Arial" w:hAnsi="Arial"/>
          <w:sz w:val="22"/>
          <w:szCs w:val="22"/>
        </w:rPr>
        <w:t xml:space="preserve"> wykonanego ścieku, przy czym wymagane jest całkowite wypełnienie badanej spoiny,</w:t>
      </w:r>
    </w:p>
    <w:p w:rsidR="00143960" w:rsidRDefault="00143960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d)    grubość podsypki, sprawdzana co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sz w:val="22"/>
            <w:szCs w:val="22"/>
          </w:rPr>
          <w:t>100 m</w:t>
        </w:r>
      </w:smartTag>
      <w:r>
        <w:rPr>
          <w:rFonts w:ascii="Arial" w:hAnsi="Arial"/>
          <w:sz w:val="22"/>
          <w:szCs w:val="22"/>
        </w:rPr>
        <w:t xml:space="preserve">, która może się różnić od grubości projektowanej o </w:t>
      </w:r>
      <w:r>
        <w:rPr>
          <w:rFonts w:ascii="Arial" w:hAnsi="Arial"/>
          <w:sz w:val="22"/>
          <w:szCs w:val="22"/>
        </w:rPr>
        <w:sym w:font="Symbol" w:char="00B1"/>
      </w:r>
      <w:r>
        <w:rPr>
          <w:rFonts w:ascii="Arial" w:hAnsi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/>
            <w:sz w:val="22"/>
            <w:szCs w:val="22"/>
          </w:rPr>
          <w:t>1 cm</w:t>
        </w:r>
      </w:smartTag>
      <w:r>
        <w:rPr>
          <w:rFonts w:ascii="Arial" w:hAnsi="Arial"/>
          <w:sz w:val="22"/>
          <w:szCs w:val="22"/>
        </w:rPr>
        <w:t>.</w:t>
      </w:r>
    </w:p>
    <w:p w:rsidR="00143960" w:rsidRDefault="00143960" w:rsidP="00143960">
      <w:pPr>
        <w:pStyle w:val="Nagwek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7. OBMIAR ROBÓT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7.1. Ogólne zasady obmiaru robót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Ogólne zasady obmiaru robót podano w OST D-M-00.00.00 „Wymagania ogólne” 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7.2. Jednostka obmiarowa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Jednostką obmiarową jest m (metr) wykonanego ścieku z prefabrykowanych elementów betonowych.</w:t>
      </w:r>
    </w:p>
    <w:p w:rsidR="00143960" w:rsidRDefault="00143960" w:rsidP="00143960">
      <w:pPr>
        <w:pStyle w:val="Nagwek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8. ODBIÓR ROBÓT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8.1. Ogólne zasady odbioru robót</w:t>
      </w:r>
    </w:p>
    <w:p w:rsidR="00143960" w:rsidRDefault="00143960" w:rsidP="00143960">
      <w:pPr>
        <w:pStyle w:val="styliwony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Ogólne zasady odbioru robót podano w OST D-M-00.00.00 „Wymagania ogólne” </w:t>
      </w:r>
    </w:p>
    <w:p w:rsidR="00143960" w:rsidRDefault="00143960" w:rsidP="00143960">
      <w:pPr>
        <w:pStyle w:val="styliwony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Roboty uznaje się za wykonane zgodnie z dokumentacją projektową, SST i wymaganiami Inżyniera, jeżeli wszystkie pomiary i badania z zachowaniem tolerancji wg pkt 6 dały wyniki pozytywne.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8.2. Odbiór robót zanikających i ulegających zakryciu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Odbiorowi robót zanikających i ulegających zakryciu podlegają: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wykop pod ławę,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- </w:t>
      </w:r>
      <w:r w:rsidR="00143960">
        <w:rPr>
          <w:rFonts w:ascii="Arial" w:hAnsi="Arial"/>
          <w:sz w:val="22"/>
          <w:szCs w:val="22"/>
        </w:rPr>
        <w:t>wykonana ława,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</w:t>
      </w:r>
      <w:r w:rsidR="00143960">
        <w:rPr>
          <w:rFonts w:ascii="Arial" w:hAnsi="Arial"/>
          <w:sz w:val="22"/>
          <w:szCs w:val="22"/>
        </w:rPr>
        <w:t>wykonana podsypka.</w:t>
      </w:r>
    </w:p>
    <w:p w:rsidR="00143960" w:rsidRDefault="00143960" w:rsidP="00143960">
      <w:pPr>
        <w:pStyle w:val="Nagwek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9. PODSTAWA PŁATNOŚCI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9.1. Ogólne ustalenia dotyczące podstawy płatności</w:t>
      </w:r>
    </w:p>
    <w:p w:rsidR="00143960" w:rsidRDefault="00143960" w:rsidP="00143960">
      <w:pPr>
        <w:pStyle w:val="styliwony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Ogólne ustalenia dotyczące podstawy płatności podano w OST D-M-00</w:t>
      </w:r>
      <w:r w:rsidR="0036087E">
        <w:rPr>
          <w:rFonts w:ascii="Arial" w:hAnsi="Arial" w:cs="Arial"/>
          <w:sz w:val="22"/>
          <w:szCs w:val="22"/>
        </w:rPr>
        <w:t xml:space="preserve">.00.00 „Wymagania ogólne” </w:t>
      </w:r>
    </w:p>
    <w:p w:rsidR="00143960" w:rsidRDefault="00143960" w:rsidP="00143960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9.2. Cena jednostki obmiarowej</w:t>
      </w:r>
    </w:p>
    <w:p w:rsidR="00143960" w:rsidRDefault="00143960" w:rsidP="00143960">
      <w:pPr>
        <w:spacing w:before="100" w:beforeAutospacing="1" w:after="100" w:afterAutospacing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>
          <w:rPr>
            <w:rFonts w:ascii="Arial" w:hAnsi="Arial"/>
            <w:sz w:val="22"/>
            <w:szCs w:val="22"/>
          </w:rPr>
          <w:t>1 m</w:t>
        </w:r>
      </w:smartTag>
      <w:r>
        <w:rPr>
          <w:rFonts w:ascii="Arial" w:hAnsi="Arial"/>
          <w:sz w:val="22"/>
          <w:szCs w:val="22"/>
        </w:rPr>
        <w:t xml:space="preserve"> ścieku z prefabrykowanych elementów betonowych obejmuje: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 xml:space="preserve">prace pomiarowe i przygotowawcze, 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dostarczenie materiałów,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-w</w:t>
      </w:r>
      <w:r w:rsidR="00143960">
        <w:rPr>
          <w:rFonts w:ascii="Arial" w:hAnsi="Arial"/>
          <w:sz w:val="22"/>
          <w:szCs w:val="22"/>
        </w:rPr>
        <w:t>ykonanie wykopu pod ławę,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wykonanie szalunku (dla ław betonowych z oporem),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wykonanie podsypki cementowo-piaskowej,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ustawienie krawężników z wypełnieniem spoin,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ułożenie prefabrykatów ścieku z wypełnieniem spoin,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zalanie spoin bitumiczną masą zalewową,</w:t>
      </w:r>
    </w:p>
    <w:p w:rsidR="00143960" w:rsidRDefault="0036087E" w:rsidP="00143960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zasypanie zewnętrznej ściany prefabrykatu lub krawężnika,</w:t>
      </w:r>
    </w:p>
    <w:p w:rsidR="00143960" w:rsidRPr="0036087E" w:rsidRDefault="0036087E" w:rsidP="0036087E">
      <w:pPr>
        <w:spacing w:before="100" w:beforeAutospacing="1" w:after="100" w:afterAutospacing="1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</w:t>
      </w:r>
      <w:r w:rsidR="00143960">
        <w:rPr>
          <w:rFonts w:ascii="Arial" w:hAnsi="Arial"/>
          <w:sz w:val="22"/>
          <w:szCs w:val="22"/>
        </w:rPr>
        <w:t>przeprowadzenie pomiarów i badań wymaga</w:t>
      </w:r>
      <w:r>
        <w:rPr>
          <w:rFonts w:ascii="Arial" w:hAnsi="Arial"/>
          <w:sz w:val="22"/>
          <w:szCs w:val="22"/>
        </w:rPr>
        <w:t>nych w specyfikacji technicznej</w:t>
      </w:r>
    </w:p>
    <w:p w:rsidR="00143960" w:rsidRDefault="00143960" w:rsidP="00143960">
      <w:pPr>
        <w:spacing w:line="377" w:lineRule="exact"/>
        <w:rPr>
          <w:rFonts w:ascii="Arial" w:eastAsia="Times New Roman" w:hAnsi="Arial"/>
          <w:sz w:val="22"/>
          <w:szCs w:val="22"/>
        </w:rPr>
      </w:pPr>
    </w:p>
    <w:p w:rsidR="00143960" w:rsidRDefault="00143960" w:rsidP="00143960">
      <w:pPr>
        <w:numPr>
          <w:ilvl w:val="0"/>
          <w:numId w:val="28"/>
        </w:numPr>
        <w:tabs>
          <w:tab w:val="left" w:pos="570"/>
        </w:tabs>
        <w:spacing w:line="0" w:lineRule="atLeast"/>
        <w:ind w:left="570" w:hanging="570"/>
        <w:jc w:val="both"/>
        <w:rPr>
          <w:rFonts w:ascii="Arial" w:eastAsia="Times New Roman" w:hAnsi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</w:rPr>
        <w:t>PRZEPISY ZWIĄZANE</w:t>
      </w:r>
    </w:p>
    <w:p w:rsidR="008D0B2E" w:rsidRDefault="008D0B2E"/>
    <w:p w:rsidR="008D0B2E" w:rsidRPr="00F3708C" w:rsidRDefault="008D0B2E">
      <w:pPr>
        <w:rPr>
          <w:rFonts w:ascii="Arial" w:hAnsi="Arial"/>
          <w:b/>
          <w:sz w:val="22"/>
          <w:szCs w:val="22"/>
        </w:rPr>
      </w:pPr>
      <w:r w:rsidRPr="00F3708C">
        <w:rPr>
          <w:rFonts w:ascii="Arial" w:hAnsi="Arial"/>
          <w:b/>
          <w:sz w:val="22"/>
          <w:szCs w:val="22"/>
        </w:rPr>
        <w:t>10.1 Normy</w:t>
      </w:r>
    </w:p>
    <w:p w:rsidR="00142842" w:rsidRDefault="008D0B2E">
      <w:pPr>
        <w:rPr>
          <w:rFonts w:ascii="Arial" w:hAnsi="Arial"/>
          <w:sz w:val="22"/>
          <w:szCs w:val="22"/>
        </w:rPr>
      </w:pPr>
      <w:r w:rsidRPr="008D0B2E">
        <w:rPr>
          <w:rFonts w:ascii="Arial" w:hAnsi="Arial"/>
          <w:sz w:val="22"/>
          <w:szCs w:val="22"/>
        </w:rPr>
        <w:t xml:space="preserve">PN-EN 197-1 </w:t>
      </w:r>
      <w:r>
        <w:rPr>
          <w:rFonts w:ascii="Arial" w:hAnsi="Arial"/>
          <w:sz w:val="22"/>
          <w:szCs w:val="22"/>
        </w:rPr>
        <w:t xml:space="preserve">                  </w:t>
      </w:r>
      <w:r w:rsidRPr="008D0B2E">
        <w:rPr>
          <w:rFonts w:ascii="Arial" w:hAnsi="Arial"/>
          <w:sz w:val="22"/>
          <w:szCs w:val="22"/>
        </w:rPr>
        <w:t xml:space="preserve"> </w:t>
      </w:r>
      <w:r w:rsidR="00142842">
        <w:rPr>
          <w:rFonts w:ascii="Arial" w:hAnsi="Arial"/>
          <w:sz w:val="22"/>
          <w:szCs w:val="22"/>
        </w:rPr>
        <w:t xml:space="preserve">     </w:t>
      </w:r>
      <w:r w:rsidRPr="008D0B2E">
        <w:rPr>
          <w:rFonts w:ascii="Arial" w:hAnsi="Arial"/>
          <w:sz w:val="22"/>
          <w:szCs w:val="22"/>
        </w:rPr>
        <w:t>Cement. Cement powszechnego użytku</w:t>
      </w:r>
      <w:r>
        <w:rPr>
          <w:rFonts w:ascii="Arial" w:hAnsi="Arial"/>
          <w:sz w:val="22"/>
          <w:szCs w:val="22"/>
        </w:rPr>
        <w:t>. Skład, wymagania</w:t>
      </w:r>
    </w:p>
    <w:p w:rsidR="008D0B2E" w:rsidRDefault="0014284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</w:t>
      </w:r>
      <w:r w:rsidR="008D0B2E">
        <w:rPr>
          <w:rFonts w:ascii="Arial" w:hAnsi="Arial"/>
          <w:sz w:val="22"/>
          <w:szCs w:val="22"/>
        </w:rPr>
        <w:t xml:space="preserve"> i ocena </w:t>
      </w:r>
      <w:r>
        <w:rPr>
          <w:rFonts w:ascii="Arial" w:hAnsi="Arial"/>
          <w:sz w:val="22"/>
          <w:szCs w:val="22"/>
        </w:rPr>
        <w:t>zgodności.</w:t>
      </w:r>
    </w:p>
    <w:p w:rsidR="00142842" w:rsidRDefault="008D0B2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PN-EN 1008                      </w:t>
      </w:r>
      <w:r w:rsidR="00142842">
        <w:rPr>
          <w:rFonts w:ascii="Arial" w:hAnsi="Arial"/>
          <w:sz w:val="22"/>
          <w:szCs w:val="22"/>
        </w:rPr>
        <w:t xml:space="preserve">     </w:t>
      </w:r>
      <w:r>
        <w:rPr>
          <w:rFonts w:ascii="Arial" w:hAnsi="Arial"/>
          <w:sz w:val="22"/>
          <w:szCs w:val="22"/>
        </w:rPr>
        <w:t xml:space="preserve">Woda do betonu. Specyfikacja pobierania próbek, badanie </w:t>
      </w:r>
    </w:p>
    <w:p w:rsidR="00142842" w:rsidRDefault="0014284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i ocena p</w:t>
      </w:r>
      <w:r w:rsidR="008D0B2E">
        <w:rPr>
          <w:rFonts w:ascii="Arial" w:hAnsi="Arial"/>
          <w:sz w:val="22"/>
          <w:szCs w:val="22"/>
        </w:rPr>
        <w:t>rzydatności wody zarobowej do betonu, w tym wody</w:t>
      </w:r>
    </w:p>
    <w:p w:rsidR="008D0B2E" w:rsidRDefault="0014284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</w:t>
      </w:r>
      <w:r w:rsidR="008D0B2E">
        <w:rPr>
          <w:rFonts w:ascii="Arial" w:hAnsi="Arial"/>
          <w:sz w:val="22"/>
          <w:szCs w:val="22"/>
        </w:rPr>
        <w:t xml:space="preserve"> odzyskanej </w:t>
      </w:r>
      <w:r>
        <w:rPr>
          <w:rFonts w:ascii="Arial" w:hAnsi="Arial"/>
          <w:sz w:val="22"/>
          <w:szCs w:val="22"/>
        </w:rPr>
        <w:t>z procesów produkcji betonu.</w:t>
      </w:r>
    </w:p>
    <w:p w:rsidR="008D0B2E" w:rsidRDefault="008D0B2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 12620</w:t>
      </w:r>
      <w:r w:rsidR="00142842">
        <w:rPr>
          <w:rFonts w:ascii="Arial" w:hAnsi="Arial"/>
          <w:sz w:val="22"/>
          <w:szCs w:val="22"/>
        </w:rPr>
        <w:t>+A1:2010          Kruszywa do betonu</w:t>
      </w:r>
    </w:p>
    <w:p w:rsidR="00142842" w:rsidRDefault="0014284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 13139:2003/AC2004  Kruszywa do zaprawy</w:t>
      </w:r>
    </w:p>
    <w:p w:rsidR="00142842" w:rsidRDefault="0049435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 1340:2004/AC2007P</w:t>
      </w:r>
    </w:p>
    <w:p w:rsidR="00F3708C" w:rsidRDefault="00F37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PN-EN-991:1999                     Oznaczenie wymiarów prefabrykowanych elementów</w:t>
      </w:r>
    </w:p>
    <w:p w:rsidR="00F3708C" w:rsidRDefault="00F37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PN-EN 206-1                           Beton zwykły</w:t>
      </w:r>
    </w:p>
    <w:p w:rsidR="00F3708C" w:rsidRDefault="00F37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BN-74/6771-04                        Drogi samochodowe. Masa zalewowa.</w:t>
      </w:r>
    </w:p>
    <w:p w:rsidR="00F3708C" w:rsidRDefault="00F3708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BN-88/6732-08                        Cement. Transport i przechowywanie</w:t>
      </w:r>
    </w:p>
    <w:p w:rsidR="00F3708C" w:rsidRPr="00F3708C" w:rsidRDefault="00F3708C" w:rsidP="00F3708C">
      <w:pPr>
        <w:pStyle w:val="Akapitzlist"/>
        <w:numPr>
          <w:ilvl w:val="1"/>
          <w:numId w:val="34"/>
        </w:numPr>
        <w:rPr>
          <w:rFonts w:ascii="Arial" w:hAnsi="Arial"/>
          <w:b/>
          <w:sz w:val="22"/>
          <w:szCs w:val="22"/>
        </w:rPr>
      </w:pPr>
      <w:r w:rsidRPr="00F3708C">
        <w:rPr>
          <w:rFonts w:ascii="Arial" w:hAnsi="Arial"/>
          <w:b/>
          <w:sz w:val="22"/>
          <w:szCs w:val="22"/>
        </w:rPr>
        <w:t>Inne dokumenty</w:t>
      </w:r>
    </w:p>
    <w:p w:rsidR="00F3708C" w:rsidRDefault="00F3708C" w:rsidP="00F3708C">
      <w:pPr>
        <w:tabs>
          <w:tab w:val="left" w:pos="460"/>
        </w:tabs>
        <w:spacing w:line="264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-Katalog szczegółów drogowych ulic, placów i parków miejskich, Centrum Techniki Budownictwa Komunalnego, Warszawa 1987.</w:t>
      </w:r>
    </w:p>
    <w:p w:rsidR="00F3708C" w:rsidRPr="00F3708C" w:rsidRDefault="00F3708C" w:rsidP="00F3708C">
      <w:pPr>
        <w:rPr>
          <w:rFonts w:ascii="Arial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-Katalog powtarzalnych elementów drogowych (KPED), Transproje</w:t>
      </w:r>
      <w:r w:rsidR="00E21B5C">
        <w:rPr>
          <w:rFonts w:ascii="Arial" w:eastAsia="Times New Roman" w:hAnsi="Arial"/>
          <w:sz w:val="22"/>
          <w:szCs w:val="22"/>
        </w:rPr>
        <w:t>kt-1979</w:t>
      </w:r>
    </w:p>
    <w:sectPr w:rsidR="00F3708C" w:rsidRPr="00F3708C" w:rsidSect="00143960">
      <w:pgSz w:w="11900" w:h="16840"/>
      <w:pgMar w:top="1134" w:right="1134" w:bottom="1134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8A" w:rsidRDefault="006F658A" w:rsidP="006A2C70">
      <w:r>
        <w:separator/>
      </w:r>
    </w:p>
  </w:endnote>
  <w:endnote w:type="continuationSeparator" w:id="0">
    <w:p w:rsidR="006F658A" w:rsidRDefault="006F658A" w:rsidP="006A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22811"/>
      <w:docPartObj>
        <w:docPartGallery w:val="Page Numbers (Bottom of Page)"/>
        <w:docPartUnique/>
      </w:docPartObj>
    </w:sdtPr>
    <w:sdtEndPr/>
    <w:sdtContent>
      <w:p w:rsidR="00F3708C" w:rsidRDefault="006F658A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instrText xml:space="preserve">  \* MERGEFORMAT </w:instrText>
        </w:r>
        <w:r>
          <w:fldChar w:fldCharType="separate"/>
        </w:r>
        <w:r w:rsidR="004564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3708C" w:rsidRDefault="00F370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8A" w:rsidRDefault="006F658A" w:rsidP="006A2C70">
      <w:r>
        <w:separator/>
      </w:r>
    </w:p>
  </w:footnote>
  <w:footnote w:type="continuationSeparator" w:id="0">
    <w:p w:rsidR="006F658A" w:rsidRDefault="006F658A" w:rsidP="006A2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8C" w:rsidRDefault="00F3708C" w:rsidP="006A2C7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6"/>
        <w:szCs w:val="16"/>
      </w:rPr>
    </w:pPr>
  </w:p>
  <w:p w:rsidR="00F3708C" w:rsidRDefault="00F3708C" w:rsidP="006A2C7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6"/>
        <w:szCs w:val="16"/>
      </w:rPr>
    </w:pPr>
  </w:p>
  <w:p w:rsidR="00F3708C" w:rsidRDefault="00F3708C" w:rsidP="006A2C7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6"/>
        <w:szCs w:val="16"/>
      </w:rPr>
    </w:pPr>
  </w:p>
  <w:p w:rsidR="00F3708C" w:rsidRDefault="00F3708C" w:rsidP="006A2C7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16"/>
        <w:szCs w:val="16"/>
      </w:rPr>
      <w:t>SST D-08.05.01 ŚCIEKI Z PREFABRYKOWANYCH ELEMENTÓW BETONOWYCH</w:t>
    </w:r>
  </w:p>
  <w:p w:rsidR="00F3708C" w:rsidRDefault="00F370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D1D5AE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763845E"/>
    <w:lvl w:ilvl="0" w:tplc="FFFFFFFF">
      <w:start w:val="1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3"/>
    <w:multiLevelType w:val="hybridMultilevel"/>
    <w:tmpl w:val="75A2A8D4"/>
    <w:lvl w:ilvl="0" w:tplc="FFFFFFFF">
      <w:start w:val="2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4"/>
    <w:multiLevelType w:val="hybridMultilevel"/>
    <w:tmpl w:val="08EDBDAA"/>
    <w:lvl w:ilvl="0" w:tplc="FFFFFFFF">
      <w:start w:val="3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5"/>
    <w:multiLevelType w:val="hybridMultilevel"/>
    <w:tmpl w:val="79838CB2"/>
    <w:lvl w:ilvl="0" w:tplc="FFFFFFFF">
      <w:start w:val="4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 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6"/>
    <w:multiLevelType w:val="hybridMultilevel"/>
    <w:tmpl w:val="4353D0CC"/>
    <w:lvl w:ilvl="0" w:tplc="FFFFFFFF">
      <w:start w:val="5"/>
      <w:numFmt w:val="decimal"/>
      <w:lvlText w:val="1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7"/>
    <w:multiLevelType w:val="hybridMultilevel"/>
    <w:tmpl w:val="0B03E0C6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8"/>
    <w:multiLevelType w:val="hybridMultilevel"/>
    <w:tmpl w:val="189A769A"/>
    <w:lvl w:ilvl="0" w:tplc="FFFFFFFF">
      <w:start w:val="1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09"/>
    <w:multiLevelType w:val="hybridMultilevel"/>
    <w:tmpl w:val="54E49EB4"/>
    <w:lvl w:ilvl="0" w:tplc="FFFFFFFF">
      <w:start w:val="2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00000A"/>
    <w:multiLevelType w:val="hybridMultilevel"/>
    <w:tmpl w:val="71F32454"/>
    <w:lvl w:ilvl="0" w:tplc="FFFFFFFF">
      <w:start w:val="3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0000000B"/>
    <w:multiLevelType w:val="hybridMultilevel"/>
    <w:tmpl w:val="2CA88610"/>
    <w:lvl w:ilvl="0" w:tplc="FFFFFFFF">
      <w:start w:val="4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0000000C"/>
    <w:multiLevelType w:val="hybridMultilevel"/>
    <w:tmpl w:val="0836C40E"/>
    <w:lvl w:ilvl="0" w:tplc="FFFFFFFF">
      <w:start w:val="5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0000000D"/>
    <w:multiLevelType w:val="hybridMultilevel"/>
    <w:tmpl w:val="02901D82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0000000E"/>
    <w:multiLevelType w:val="hybridMultilevel"/>
    <w:tmpl w:val="3A95F874"/>
    <w:lvl w:ilvl="0" w:tplc="FFFFFFFF">
      <w:start w:val="6"/>
      <w:numFmt w:val="decimal"/>
      <w:lvlText w:val="2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0000000F"/>
    <w:multiLevelType w:val="hybridMultilevel"/>
    <w:tmpl w:val="0813864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00000010"/>
    <w:multiLevelType w:val="hybridMultilevel"/>
    <w:tmpl w:val="1E7FF520"/>
    <w:lvl w:ilvl="0" w:tplc="FFFFFFFF">
      <w:start w:val="1"/>
      <w:numFmt w:val="decimal"/>
      <w:lvlText w:val="3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00000011"/>
    <w:multiLevelType w:val="hybridMultilevel"/>
    <w:tmpl w:val="7C3DBD3C"/>
    <w:lvl w:ilvl="0" w:tplc="FFFFFFFF">
      <w:start w:val="2"/>
      <w:numFmt w:val="decimal"/>
      <w:lvlText w:val="3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00000012"/>
    <w:multiLevelType w:val="hybridMultilevel"/>
    <w:tmpl w:val="737B8DD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>
    <w:nsid w:val="00000013"/>
    <w:multiLevelType w:val="hybridMultilevel"/>
    <w:tmpl w:val="6CEAF08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00000014"/>
    <w:multiLevelType w:val="hybridMultilevel"/>
    <w:tmpl w:val="22221A70"/>
    <w:lvl w:ilvl="0" w:tplc="FFFFFFFF">
      <w:start w:val="1"/>
      <w:numFmt w:val="decimal"/>
      <w:lvlText w:val="4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00000015"/>
    <w:multiLevelType w:val="hybridMultilevel"/>
    <w:tmpl w:val="4516DDE8"/>
    <w:lvl w:ilvl="0" w:tplc="FFFFFFFF">
      <w:start w:val="2"/>
      <w:numFmt w:val="decimal"/>
      <w:lvlText w:val="4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1">
    <w:nsid w:val="00000016"/>
    <w:multiLevelType w:val="hybridMultilevel"/>
    <w:tmpl w:val="3006C83E"/>
    <w:lvl w:ilvl="0" w:tplc="FFFFFFFF">
      <w:start w:val="5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00000017"/>
    <w:multiLevelType w:val="hybridMultilevel"/>
    <w:tmpl w:val="614FD4A0"/>
    <w:lvl w:ilvl="0" w:tplc="FFFFFFFF">
      <w:start w:val="1"/>
      <w:numFmt w:val="decimal"/>
      <w:lvlText w:val="5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0000001B"/>
    <w:multiLevelType w:val="hybridMultilevel"/>
    <w:tmpl w:val="05072366"/>
    <w:lvl w:ilvl="0" w:tplc="FFFFFFFF">
      <w:start w:val="6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4">
    <w:nsid w:val="0000001C"/>
    <w:multiLevelType w:val="hybridMultilevel"/>
    <w:tmpl w:val="3804823E"/>
    <w:lvl w:ilvl="0" w:tplc="FFFFFFFF">
      <w:start w:val="1"/>
      <w:numFmt w:val="decimal"/>
      <w:lvlText w:val="6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5">
    <w:nsid w:val="0000001D"/>
    <w:multiLevelType w:val="hybridMultilevel"/>
    <w:tmpl w:val="77465F00"/>
    <w:lvl w:ilvl="0" w:tplc="FFFFFFFF">
      <w:start w:val="2"/>
      <w:numFmt w:val="decimal"/>
      <w:lvlText w:val="6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0000001E"/>
    <w:multiLevelType w:val="hybridMultilevel"/>
    <w:tmpl w:val="7724C67E"/>
    <w:lvl w:ilvl="0" w:tplc="FFFFFFFF">
      <w:start w:val="3"/>
      <w:numFmt w:val="decimal"/>
      <w:lvlText w:val="6.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7">
    <w:nsid w:val="0000002B"/>
    <w:multiLevelType w:val="hybridMultilevel"/>
    <w:tmpl w:val="725A06FA"/>
    <w:lvl w:ilvl="0" w:tplc="FFFFFFFF">
      <w:start w:val="9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8">
    <w:nsid w:val="0000002C"/>
    <w:multiLevelType w:val="hybridMultilevel"/>
    <w:tmpl w:val="2CD89A32"/>
    <w:lvl w:ilvl="0" w:tplc="FFFFFFFF">
      <w:start w:val="7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9">
    <w:nsid w:val="0000002D"/>
    <w:multiLevelType w:val="hybridMultilevel"/>
    <w:tmpl w:val="57E4CCAE"/>
    <w:lvl w:ilvl="0" w:tplc="FFFFFFFF">
      <w:start w:val="1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0">
    <w:nsid w:val="0D732C64"/>
    <w:multiLevelType w:val="hybridMultilevel"/>
    <w:tmpl w:val="57E4CCAE"/>
    <w:lvl w:ilvl="0" w:tplc="FFFFFFFF">
      <w:start w:val="1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1">
    <w:nsid w:val="24A216D8"/>
    <w:multiLevelType w:val="multilevel"/>
    <w:tmpl w:val="180A9D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7F1E0580"/>
    <w:multiLevelType w:val="multilevel"/>
    <w:tmpl w:val="7CAC65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</w:num>
  <w:num w:numId="14">
    <w:abstractNumId w:val="1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</w:num>
  <w:num w:numId="19">
    <w:abstractNumId w:val="1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2"/>
  </w:num>
  <w:num w:numId="32">
    <w:abstractNumId w:val="0"/>
  </w:num>
  <w:num w:numId="33">
    <w:abstractNumId w:val="30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ABD"/>
    <w:rsid w:val="00142842"/>
    <w:rsid w:val="00143960"/>
    <w:rsid w:val="002D49BC"/>
    <w:rsid w:val="00340ABD"/>
    <w:rsid w:val="003502B7"/>
    <w:rsid w:val="0036087E"/>
    <w:rsid w:val="003F23B8"/>
    <w:rsid w:val="0045648A"/>
    <w:rsid w:val="00494350"/>
    <w:rsid w:val="004D6D16"/>
    <w:rsid w:val="004D7B63"/>
    <w:rsid w:val="005A03EF"/>
    <w:rsid w:val="00651069"/>
    <w:rsid w:val="00661CF2"/>
    <w:rsid w:val="006A2C70"/>
    <w:rsid w:val="006F658A"/>
    <w:rsid w:val="00860C8C"/>
    <w:rsid w:val="008D0B2E"/>
    <w:rsid w:val="00BB0A37"/>
    <w:rsid w:val="00D835F6"/>
    <w:rsid w:val="00E11409"/>
    <w:rsid w:val="00E21B5C"/>
    <w:rsid w:val="00E5729E"/>
    <w:rsid w:val="00EC4DC9"/>
    <w:rsid w:val="00F342BA"/>
    <w:rsid w:val="00F3708C"/>
    <w:rsid w:val="00F50F5F"/>
    <w:rsid w:val="00F7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96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4396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semiHidden/>
    <w:unhideWhenUsed/>
    <w:qFormat/>
    <w:rsid w:val="0014396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396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4396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iwony">
    <w:name w:val="styliwony"/>
    <w:basedOn w:val="Normalny"/>
    <w:rsid w:val="001439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439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A2C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2C7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2C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2C70"/>
    <w:rPr>
      <w:rFonts w:ascii="Calibri" w:eastAsia="Calibri" w:hAnsi="Calibri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2248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4</cp:revision>
  <cp:lastPrinted>2017-02-05T16:04:00Z</cp:lastPrinted>
  <dcterms:created xsi:type="dcterms:W3CDTF">2017-02-05T18:21:00Z</dcterms:created>
  <dcterms:modified xsi:type="dcterms:W3CDTF">2019-11-17T21:40:00Z</dcterms:modified>
</cp:coreProperties>
</file>